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19" w:rsidRPr="00EE519C" w:rsidRDefault="00F91E4E" w:rsidP="00F91E4E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50F3DD63" wp14:editId="3680F91B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:rsidR="00642889" w:rsidRPr="00EE519C" w:rsidRDefault="00642889" w:rsidP="00642889">
      <w:pPr>
        <w:framePr w:w="4579" w:h="4268" w:hSpace="180" w:wrap="around" w:vAnchor="text" w:hAnchor="page" w:x="1219" w:y="126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:rsidR="00642889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:rsidR="00642889" w:rsidRDefault="00642889" w:rsidP="00642889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:rsidR="00642889" w:rsidRPr="00E06FF5" w:rsidRDefault="00642889" w:rsidP="00E06FF5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 xml:space="preserve">Управления Федеральной службы по надзору в сфере защиты прав потребителей и благополучия человека по Свердловской области в </w:t>
      </w:r>
      <w:proofErr w:type="spellStart"/>
      <w:r w:rsidRPr="00C620B6">
        <w:rPr>
          <w:rFonts w:cs="Times New Roman"/>
          <w:szCs w:val="20"/>
        </w:rPr>
        <w:t>г</w:t>
      </w:r>
      <w:proofErr w:type="gramStart"/>
      <w:r w:rsidRPr="00C620B6">
        <w:rPr>
          <w:rFonts w:cs="Times New Roman"/>
          <w:szCs w:val="20"/>
        </w:rPr>
        <w:t>.К</w:t>
      </w:r>
      <w:proofErr w:type="gramEnd"/>
      <w:r w:rsidRPr="00C620B6">
        <w:rPr>
          <w:rFonts w:cs="Times New Roman"/>
          <w:szCs w:val="20"/>
        </w:rPr>
        <w:t>расноуфимск</w:t>
      </w:r>
      <w:proofErr w:type="spellEnd"/>
      <w:r w:rsidRPr="00C620B6">
        <w:rPr>
          <w:rFonts w:cs="Times New Roman"/>
          <w:szCs w:val="20"/>
        </w:rPr>
        <w:t xml:space="preserve">, Красноуфимском, </w:t>
      </w:r>
      <w:proofErr w:type="spellStart"/>
      <w:r w:rsidRPr="00C620B6">
        <w:rPr>
          <w:rFonts w:cs="Times New Roman"/>
          <w:szCs w:val="20"/>
        </w:rPr>
        <w:t>Ачитском</w:t>
      </w:r>
      <w:proofErr w:type="spellEnd"/>
      <w:r w:rsidRPr="00C620B6">
        <w:rPr>
          <w:rFonts w:cs="Times New Roman"/>
          <w:szCs w:val="20"/>
        </w:rPr>
        <w:t xml:space="preserve"> и Артинском районах</w:t>
      </w:r>
    </w:p>
    <w:p w:rsidR="00642889" w:rsidRPr="00AD740A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0B6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C620B6">
        <w:rPr>
          <w:rFonts w:ascii="Times New Roman" w:hAnsi="Times New Roman" w:cs="Times New Roman"/>
          <w:sz w:val="20"/>
          <w:szCs w:val="20"/>
        </w:rPr>
        <w:t xml:space="preserve"> по Свердловской области)</w:t>
      </w:r>
    </w:p>
    <w:p w:rsidR="00642889" w:rsidRDefault="00642889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proofErr w:type="gramStart"/>
      <w:r>
        <w:rPr>
          <w:szCs w:val="20"/>
        </w:rPr>
        <w:br/>
        <w:t>Т</w:t>
      </w:r>
      <w:proofErr w:type="gramEnd"/>
      <w:r>
        <w:rPr>
          <w:szCs w:val="20"/>
        </w:rPr>
        <w:t xml:space="preserve">ел.: 8 (34394)5-05-06 </w:t>
      </w:r>
      <w:r w:rsidRPr="00177F42">
        <w:rPr>
          <w:szCs w:val="20"/>
        </w:rPr>
        <w:t>,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proofErr w:type="spellStart"/>
      <w:r w:rsidRPr="00177F42">
        <w:rPr>
          <w:szCs w:val="20"/>
          <w:lang w:val="en-US"/>
        </w:rPr>
        <w:t>rospotrebnadzor</w:t>
      </w:r>
      <w:proofErr w:type="spellEnd"/>
      <w:r w:rsidRPr="00177F42">
        <w:rPr>
          <w:szCs w:val="20"/>
        </w:rPr>
        <w:t>.</w:t>
      </w:r>
      <w:proofErr w:type="spellStart"/>
      <w:r w:rsidRPr="00177F42">
        <w:rPr>
          <w:szCs w:val="20"/>
          <w:lang w:val="en-US"/>
        </w:rPr>
        <w:t>ru</w:t>
      </w:r>
      <w:proofErr w:type="spellEnd"/>
    </w:p>
    <w:p w:rsidR="00642889" w:rsidRPr="00B06ED5" w:rsidRDefault="0033112E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 07.12</w:t>
      </w:r>
      <w:r w:rsidR="00642889" w:rsidRPr="00B06ED5">
        <w:rPr>
          <w:rFonts w:eastAsia="Times New Roman" w:cs="Times New Roman"/>
          <w:lang w:eastAsia="ru-RU"/>
        </w:rPr>
        <w:t>.</w:t>
      </w:r>
      <w:r w:rsidR="00ED751F" w:rsidRPr="00B06ED5">
        <w:rPr>
          <w:rFonts w:eastAsia="Times New Roman" w:cs="Times New Roman"/>
          <w:lang w:eastAsia="ru-RU"/>
        </w:rPr>
        <w:t>2022</w:t>
      </w:r>
      <w:r w:rsidR="00642889" w:rsidRPr="00B06ED5">
        <w:rPr>
          <w:rFonts w:eastAsia="Times New Roman" w:cs="Times New Roman"/>
          <w:lang w:eastAsia="ru-RU"/>
        </w:rPr>
        <w:t xml:space="preserve"> г. № 66-07-03/15-</w:t>
      </w:r>
      <w:r w:rsidR="00D31471">
        <w:rPr>
          <w:rFonts w:eastAsia="Times New Roman" w:cs="Times New Roman"/>
          <w:lang w:eastAsia="ru-RU"/>
        </w:rPr>
        <w:t>6162</w:t>
      </w:r>
      <w:r w:rsidR="003D794B">
        <w:rPr>
          <w:rFonts w:eastAsia="Times New Roman" w:cs="Times New Roman"/>
          <w:lang w:eastAsia="ru-RU"/>
        </w:rPr>
        <w:t>/1</w:t>
      </w:r>
      <w:r w:rsidR="00ED751F" w:rsidRPr="00B06ED5">
        <w:rPr>
          <w:rFonts w:eastAsia="Times New Roman" w:cs="Times New Roman"/>
          <w:lang w:eastAsia="ru-RU"/>
        </w:rPr>
        <w:t>-2022</w:t>
      </w: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2845C4" w:rsidRDefault="002845C4"/>
    <w:p w:rsidR="00D56519" w:rsidRDefault="00D56519"/>
    <w:p w:rsidR="00A644AB" w:rsidRDefault="00A644AB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</w:p>
    <w:p w:rsidR="00083620" w:rsidRDefault="003D794B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1"/>
          <w:szCs w:val="21"/>
        </w:rPr>
      </w:pPr>
      <w:r w:rsidRPr="00A644AB">
        <w:rPr>
          <w:rFonts w:eastAsia="Calibri" w:cs="Times New Roman"/>
          <w:b/>
          <w:sz w:val="21"/>
          <w:szCs w:val="21"/>
        </w:rPr>
        <w:t>Об особенностях рассмотрения обращении</w:t>
      </w:r>
    </w:p>
    <w:p w:rsidR="00A644AB" w:rsidRPr="00A644AB" w:rsidRDefault="00A644AB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1"/>
          <w:szCs w:val="21"/>
        </w:rPr>
      </w:pPr>
    </w:p>
    <w:p w:rsidR="0007639F" w:rsidRPr="00A644AB" w:rsidRDefault="003D794B" w:rsidP="0007639F">
      <w:pPr>
        <w:spacing w:line="240" w:lineRule="auto"/>
        <w:ind w:firstLine="567"/>
        <w:contextualSpacing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В</w:t>
      </w:r>
      <w:r w:rsidR="0007639F" w:rsidRPr="00A644AB">
        <w:rPr>
          <w:rFonts w:eastAsia="Calibri" w:cs="Times New Roman"/>
          <w:sz w:val="21"/>
          <w:szCs w:val="21"/>
        </w:rPr>
        <w:t xml:space="preserve"> соответствии с п. 2</w:t>
      </w:r>
      <w:r w:rsidR="0007639F" w:rsidRPr="00A644AB">
        <w:rPr>
          <w:sz w:val="21"/>
          <w:szCs w:val="21"/>
        </w:rPr>
        <w:t xml:space="preserve"> </w:t>
      </w:r>
      <w:r w:rsidR="0007639F" w:rsidRPr="00A644AB">
        <w:rPr>
          <w:rFonts w:eastAsia="Calibri" w:cs="Times New Roman"/>
          <w:sz w:val="21"/>
          <w:szCs w:val="21"/>
        </w:rPr>
        <w:t>Постановления Правительства РФ от 10.03.2022 N 336  - допускается проведение запланированных на 2022 год плановых контрольных (надзорных) мероприятий:</w:t>
      </w:r>
    </w:p>
    <w:p w:rsidR="0007639F" w:rsidRPr="00A644AB" w:rsidRDefault="0007639F" w:rsidP="0007639F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after="0"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дошкольное и начальное общее образование;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основное общее и среднее (полное) общее образование;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деятельность по организации отдыха детей и их оздоровления;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деятельность детских лагерей на время каникул;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деятельность по организации общественного питания детей;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родильные дома, перинатальные центры;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социальные услуги с обеспечением проживания;</w:t>
      </w:r>
    </w:p>
    <w:p w:rsidR="0007639F" w:rsidRPr="00A644AB" w:rsidRDefault="0007639F" w:rsidP="0007639F">
      <w:pPr>
        <w:pStyle w:val="a7"/>
        <w:numPr>
          <w:ilvl w:val="0"/>
          <w:numId w:val="2"/>
        </w:numPr>
        <w:spacing w:after="0" w:line="240" w:lineRule="auto"/>
        <w:ind w:left="993"/>
        <w:jc w:val="both"/>
        <w:rPr>
          <w:rFonts w:eastAsia="Calibri" w:cs="Times New Roman"/>
          <w:sz w:val="21"/>
          <w:szCs w:val="21"/>
        </w:rPr>
      </w:pPr>
      <w:r w:rsidRPr="00A644AB">
        <w:rPr>
          <w:rFonts w:eastAsia="Calibri" w:cs="Times New Roman"/>
          <w:sz w:val="21"/>
          <w:szCs w:val="21"/>
        </w:rPr>
        <w:t>деятельность по водоподготовке и водоснабжению;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proofErr w:type="gramStart"/>
      <w:r w:rsidRPr="00A644AB">
        <w:rPr>
          <w:sz w:val="21"/>
          <w:szCs w:val="21"/>
        </w:rPr>
        <w:t>Согласно под п.1 ч.1 ст.57 Федерального закона от 31.07.2020 N 248-ФЗ "О государственном контроле (надзоре) и муниципальном контроле в Российской Федерации" одним из оснований для проведения контрольных (надзорных) мероприятий, за исключением случаев указанных в ч. 12 настоящей статьи может быть наличие у контрольного (надзорного) органа сведений о причинении вреда (ущерба) или об угрозе причинения вреда (ущерба) охраняемым</w:t>
      </w:r>
      <w:proofErr w:type="gramEnd"/>
      <w:r w:rsidRPr="00A644AB">
        <w:rPr>
          <w:sz w:val="21"/>
          <w:szCs w:val="21"/>
        </w:rPr>
        <w:t xml:space="preserve"> законом ценностям 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Особенности рассмотрения обращений (заявлений) граждан и организаций, содержащих сведения о причинении вреда (ущерба) или об угрозе вреда (ущерба) охраняемым законом ценностям регламентированы положением </w:t>
      </w:r>
      <w:proofErr w:type="spellStart"/>
      <w:r w:rsidRPr="00A644AB">
        <w:rPr>
          <w:sz w:val="21"/>
          <w:szCs w:val="21"/>
        </w:rPr>
        <w:t>ст.ст</w:t>
      </w:r>
      <w:proofErr w:type="spellEnd"/>
      <w:r w:rsidRPr="00A644AB">
        <w:rPr>
          <w:sz w:val="21"/>
          <w:szCs w:val="21"/>
        </w:rPr>
        <w:t>. 58-59 Федерального закона от 31.07.2020 N 248-ФЗ "О государственном контроле (надзоре) и муниципальном контроле в Российской Федерации".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С 10.03.2022, в соответствии Постановлением Правительства РФ от 10.03.2022 г. № 336 «Об особенностях организации и осуществления государственного контроля (надзора), муниципального контроля» введены ограничения на проведение контрольных (надзорных) мероприятий и возбуждение административных дел, в том числе, отсутствует возможность составления протоколов </w:t>
      </w:r>
      <w:proofErr w:type="gramStart"/>
      <w:r w:rsidRPr="00A644AB">
        <w:rPr>
          <w:sz w:val="21"/>
          <w:szCs w:val="21"/>
        </w:rPr>
        <w:t>об</w:t>
      </w:r>
      <w:proofErr w:type="gramEnd"/>
      <w:r w:rsidRPr="00A644AB">
        <w:rPr>
          <w:sz w:val="21"/>
          <w:szCs w:val="21"/>
        </w:rPr>
        <w:t xml:space="preserve"> административных правонарушений без проведения контрольных (надзорных) мероприятий.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proofErr w:type="gramStart"/>
      <w:r w:rsidRPr="00A644AB">
        <w:rPr>
          <w:sz w:val="21"/>
          <w:szCs w:val="21"/>
        </w:rPr>
        <w:t>Согласно п.3 Постановления Правительства РФ от 10.03.2022 г. № 336 «Об особенностях организации и осуществления государственного контроля (надзора), муниципального контроля» одним из оснований для проведения в 2022 г. внеплановых контрольных (надзорных) мероприятий является непосредственная угроза причинения вреда жизни и здоровью граждан, факт причинения вреда жизни и здоровью граждан, при условии согласования с органами прокуратуры проведение контрольно-надзорных мероприятий.</w:t>
      </w:r>
      <w:proofErr w:type="gramEnd"/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Таким образом, для организации контрольного (надзорного) мероприятия необходимо соблюдение следующих условий: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lastRenderedPageBreak/>
        <w:t xml:space="preserve">- обращение должно содержать сведения о непосредственной угрозе причинения вреда жизни. Под созданием </w:t>
      </w:r>
      <w:proofErr w:type="gramStart"/>
      <w:r w:rsidRPr="00A644AB">
        <w:rPr>
          <w:sz w:val="21"/>
          <w:szCs w:val="21"/>
        </w:rPr>
        <w:t>угрозы причинения вреда жизни людей</w:t>
      </w:r>
      <w:proofErr w:type="gramEnd"/>
      <w:r w:rsidRPr="00A644AB">
        <w:rPr>
          <w:sz w:val="21"/>
          <w:szCs w:val="21"/>
        </w:rPr>
        <w:t xml:space="preserve"> следует понимать возникновение таких обстоятельств, которые повлекли бы вредные последствия, если бы не были прерваны обстоятельствами, не зависящими от поведения лица. Угроза причинения вреда предполагает наличие конкретной </w:t>
      </w:r>
      <w:proofErr w:type="gramStart"/>
      <w:r w:rsidRPr="00A644AB">
        <w:rPr>
          <w:sz w:val="21"/>
          <w:szCs w:val="21"/>
        </w:rPr>
        <w:t>опасности реального причинения вреда жизни людей</w:t>
      </w:r>
      <w:proofErr w:type="gramEnd"/>
      <w:r w:rsidRPr="00A644AB">
        <w:rPr>
          <w:sz w:val="21"/>
          <w:szCs w:val="21"/>
        </w:rPr>
        <w:t>;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- обращение должно содержать сведения о непосредственной угрозе причинения тяжкого вреда здоровью граждан. Критерии степени тяжкого вреда здоровью определены Приказом </w:t>
      </w:r>
      <w:proofErr w:type="spellStart"/>
      <w:r w:rsidRPr="00A644AB">
        <w:rPr>
          <w:sz w:val="21"/>
          <w:szCs w:val="21"/>
        </w:rPr>
        <w:t>Минздравсоцразвития</w:t>
      </w:r>
      <w:proofErr w:type="spellEnd"/>
      <w:r w:rsidRPr="00A644AB">
        <w:rPr>
          <w:sz w:val="21"/>
          <w:szCs w:val="21"/>
        </w:rPr>
        <w:t xml:space="preserve"> РФ от 24.04.2008 № 194н «Об утверждении Медицинских критериев определения степени тяжести вреда, причиненного здоровью человека»;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- обращение должно содержать факт причинения вреда жизни и тяжкого вреда здоровью граждан. </w:t>
      </w:r>
    </w:p>
    <w:p w:rsidR="0007639F" w:rsidRPr="00A644AB" w:rsidRDefault="0007639F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При соблюдении только указанных условий, должностные лица </w:t>
      </w:r>
      <w:proofErr w:type="spellStart"/>
      <w:r w:rsidRPr="00A644AB">
        <w:rPr>
          <w:sz w:val="21"/>
          <w:szCs w:val="21"/>
        </w:rPr>
        <w:t>Роспотребнадзора</w:t>
      </w:r>
      <w:proofErr w:type="spellEnd"/>
      <w:r w:rsidRPr="00A644AB">
        <w:rPr>
          <w:sz w:val="21"/>
          <w:szCs w:val="21"/>
        </w:rPr>
        <w:t xml:space="preserve"> могут организовать и провести контрольное (надзорное) мероприятие.</w:t>
      </w:r>
    </w:p>
    <w:p w:rsidR="00E31C96" w:rsidRPr="00A644AB" w:rsidRDefault="008A2B46" w:rsidP="0007639F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Так же сообщаем, что согласно ст. 7 Федерального закон </w:t>
      </w:r>
      <w:proofErr w:type="spellStart"/>
      <w:r w:rsidRPr="00A644AB">
        <w:rPr>
          <w:sz w:val="21"/>
          <w:szCs w:val="21"/>
        </w:rPr>
        <w:t>аот</w:t>
      </w:r>
      <w:proofErr w:type="spellEnd"/>
      <w:r w:rsidRPr="00A644AB">
        <w:rPr>
          <w:sz w:val="21"/>
          <w:szCs w:val="21"/>
        </w:rPr>
        <w:t xml:space="preserve"> 02.05.2006 N 59-ФЗ "О порядке рассмотрения обращений граждан Российской Федерации" к письменному обращению предъявляются следующие т</w:t>
      </w:r>
      <w:r w:rsidRPr="00A644AB">
        <w:rPr>
          <w:sz w:val="21"/>
          <w:szCs w:val="21"/>
        </w:rPr>
        <w:t>ребования</w:t>
      </w:r>
      <w:r w:rsidRPr="00A644AB">
        <w:rPr>
          <w:sz w:val="21"/>
          <w:szCs w:val="21"/>
        </w:rPr>
        <w:t xml:space="preserve">: </w:t>
      </w:r>
    </w:p>
    <w:p w:rsidR="008A2B46" w:rsidRPr="00A644AB" w:rsidRDefault="008A2B46" w:rsidP="008A2B46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1. </w:t>
      </w:r>
      <w:proofErr w:type="gramStart"/>
      <w:r w:rsidRPr="00A644AB">
        <w:rPr>
          <w:sz w:val="21"/>
          <w:szCs w:val="21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A644AB">
        <w:rPr>
          <w:sz w:val="21"/>
          <w:szCs w:val="21"/>
        </w:rPr>
        <w:t>, ставит личную подпись и дату.</w:t>
      </w:r>
    </w:p>
    <w:p w:rsidR="008A2B46" w:rsidRPr="00A644AB" w:rsidRDefault="008A2B46" w:rsidP="008A2B46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A2B46" w:rsidRPr="00A644AB" w:rsidRDefault="008A2B46" w:rsidP="008A2B46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 xml:space="preserve">Согласно ст. 59 Федерального закона от 31.07.2020 N 248-ФЗ "О государственном контроле (надзоре) и муниципальном контроле в Российской Федерации" - </w:t>
      </w:r>
      <w:r w:rsidRPr="00A644AB">
        <w:rPr>
          <w:sz w:val="21"/>
          <w:szCs w:val="21"/>
        </w:rPr>
        <w:t>Обращения (заявления) граждан и организаций, содержащие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</w:r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1)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полномочия;</w:t>
      </w:r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proofErr w:type="gramStart"/>
      <w:r w:rsidRPr="00A644AB">
        <w:rPr>
          <w:sz w:val="21"/>
          <w:szCs w:val="21"/>
        </w:rPr>
        <w:t>2) 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  <w:proofErr w:type="gramEnd"/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3) при иных способах подачи таких обращений (заявлений) гражданами и организациями после принятия должностным лицом контрольного (надзорного) органа мер по установлению личности гражданина и полномочий представителя организации и их подтверждения.</w:t>
      </w:r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r w:rsidRPr="00A644AB">
        <w:rPr>
          <w:sz w:val="21"/>
          <w:szCs w:val="21"/>
        </w:rPr>
        <w:t>Обращаем Ваше внимание, что согласно ст. 11 Федерального закона от 31.07.2020 N 248-ФЗ "О государственном контроле (надзоре) и муниципальном контроле в Российской Федерации" - Не допускается злоупотребление гражданами и организациями правом на обращение в контрольные (надзорные)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A644AB" w:rsidRPr="00A644AB" w:rsidRDefault="00A644AB" w:rsidP="00A644AB">
      <w:pPr>
        <w:tabs>
          <w:tab w:val="left" w:pos="4320"/>
          <w:tab w:val="left" w:pos="4860"/>
        </w:tabs>
        <w:spacing w:after="0"/>
        <w:ind w:firstLine="709"/>
        <w:jc w:val="both"/>
        <w:rPr>
          <w:sz w:val="21"/>
          <w:szCs w:val="21"/>
        </w:rPr>
      </w:pPr>
      <w:proofErr w:type="gramStart"/>
      <w:r w:rsidRPr="00A644AB">
        <w:rPr>
          <w:sz w:val="21"/>
          <w:szCs w:val="21"/>
        </w:rPr>
        <w:t>В соответствии с ФЗ от 31.07.2020 N 248-ФЗ "О государственном контроле (надзоре) и муниципальном контроле в Российской Федерации" ст. 58 п. 4 - Контрольный (надзорный) орган вправе обратиться в суд с иском о взыскании с гражданина,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</w:t>
      </w:r>
      <w:proofErr w:type="gramEnd"/>
      <w:r w:rsidRPr="00A644AB">
        <w:rPr>
          <w:sz w:val="21"/>
          <w:szCs w:val="21"/>
        </w:rPr>
        <w:t xml:space="preserve"> ложные сведения.</w:t>
      </w:r>
    </w:p>
    <w:p w:rsidR="00083620" w:rsidRPr="00A644AB" w:rsidRDefault="00083620" w:rsidP="005F24D3">
      <w:pPr>
        <w:rPr>
          <w:rFonts w:cs="Times New Roman"/>
          <w:sz w:val="21"/>
          <w:szCs w:val="21"/>
        </w:rPr>
      </w:pPr>
      <w:r w:rsidRPr="00A644AB">
        <w:rPr>
          <w:rFonts w:cs="Times New Roman"/>
          <w:sz w:val="21"/>
          <w:szCs w:val="21"/>
        </w:rPr>
        <w:t xml:space="preserve">Исполнитель: специалист-эксперт </w:t>
      </w:r>
      <w:r w:rsidR="00A907CA" w:rsidRPr="00A644AB">
        <w:rPr>
          <w:rFonts w:cs="Times New Roman"/>
          <w:sz w:val="21"/>
          <w:szCs w:val="21"/>
        </w:rPr>
        <w:t>Другов А.Ю</w:t>
      </w:r>
      <w:bookmarkStart w:id="0" w:name="_GoBack"/>
      <w:bookmarkEnd w:id="0"/>
      <w:r w:rsidR="00A907CA" w:rsidRPr="00A644AB">
        <w:rPr>
          <w:rFonts w:cs="Times New Roman"/>
          <w:sz w:val="21"/>
          <w:szCs w:val="21"/>
        </w:rPr>
        <w:t>.</w:t>
      </w:r>
    </w:p>
    <w:sectPr w:rsidR="00083620" w:rsidRPr="00A644AB" w:rsidSect="00A644AB">
      <w:pgSz w:w="11906" w:h="16838"/>
      <w:pgMar w:top="284" w:right="7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B5"/>
    <w:rsid w:val="00002C72"/>
    <w:rsid w:val="000177C8"/>
    <w:rsid w:val="0007639F"/>
    <w:rsid w:val="00083620"/>
    <w:rsid w:val="00083717"/>
    <w:rsid w:val="00091D77"/>
    <w:rsid w:val="0009602D"/>
    <w:rsid w:val="00185BFA"/>
    <w:rsid w:val="00186773"/>
    <w:rsid w:val="001C3332"/>
    <w:rsid w:val="001C632D"/>
    <w:rsid w:val="001E60EB"/>
    <w:rsid w:val="00237F4F"/>
    <w:rsid w:val="002700CF"/>
    <w:rsid w:val="00273DE7"/>
    <w:rsid w:val="002845C4"/>
    <w:rsid w:val="00286290"/>
    <w:rsid w:val="002B26CA"/>
    <w:rsid w:val="002F4675"/>
    <w:rsid w:val="0033112E"/>
    <w:rsid w:val="003369BC"/>
    <w:rsid w:val="00367F2A"/>
    <w:rsid w:val="003D794B"/>
    <w:rsid w:val="00410A2F"/>
    <w:rsid w:val="00472DC6"/>
    <w:rsid w:val="004F700C"/>
    <w:rsid w:val="00520392"/>
    <w:rsid w:val="005A294E"/>
    <w:rsid w:val="005E26E9"/>
    <w:rsid w:val="005E34CC"/>
    <w:rsid w:val="005F24D3"/>
    <w:rsid w:val="00610DC3"/>
    <w:rsid w:val="00642889"/>
    <w:rsid w:val="0065124F"/>
    <w:rsid w:val="006616B1"/>
    <w:rsid w:val="0066328C"/>
    <w:rsid w:val="006A6D91"/>
    <w:rsid w:val="006F04F2"/>
    <w:rsid w:val="00700CC5"/>
    <w:rsid w:val="00723830"/>
    <w:rsid w:val="007E177E"/>
    <w:rsid w:val="007E49DE"/>
    <w:rsid w:val="0084673B"/>
    <w:rsid w:val="008A2B46"/>
    <w:rsid w:val="008A7F26"/>
    <w:rsid w:val="00925C0C"/>
    <w:rsid w:val="00950D35"/>
    <w:rsid w:val="00971B9A"/>
    <w:rsid w:val="009A3C0A"/>
    <w:rsid w:val="009E275E"/>
    <w:rsid w:val="00A26300"/>
    <w:rsid w:val="00A45D20"/>
    <w:rsid w:val="00A644AB"/>
    <w:rsid w:val="00A65618"/>
    <w:rsid w:val="00A81799"/>
    <w:rsid w:val="00A907CA"/>
    <w:rsid w:val="00AB08F6"/>
    <w:rsid w:val="00AD72F2"/>
    <w:rsid w:val="00AD740A"/>
    <w:rsid w:val="00AE63A7"/>
    <w:rsid w:val="00AE7B09"/>
    <w:rsid w:val="00B06ED5"/>
    <w:rsid w:val="00B32776"/>
    <w:rsid w:val="00B93377"/>
    <w:rsid w:val="00BE2540"/>
    <w:rsid w:val="00BE5AA6"/>
    <w:rsid w:val="00BF1EDC"/>
    <w:rsid w:val="00C201CD"/>
    <w:rsid w:val="00C93691"/>
    <w:rsid w:val="00D304DB"/>
    <w:rsid w:val="00D31471"/>
    <w:rsid w:val="00D56519"/>
    <w:rsid w:val="00D63355"/>
    <w:rsid w:val="00D86A0D"/>
    <w:rsid w:val="00DA2E0B"/>
    <w:rsid w:val="00DB41C3"/>
    <w:rsid w:val="00DB60E6"/>
    <w:rsid w:val="00DF72B9"/>
    <w:rsid w:val="00E06FF5"/>
    <w:rsid w:val="00E31C96"/>
    <w:rsid w:val="00E403B5"/>
    <w:rsid w:val="00EC6ADD"/>
    <w:rsid w:val="00ED751F"/>
    <w:rsid w:val="00EE3E70"/>
    <w:rsid w:val="00F06B1F"/>
    <w:rsid w:val="00F10A44"/>
    <w:rsid w:val="00F549B9"/>
    <w:rsid w:val="00F91E4E"/>
    <w:rsid w:val="00FC6F16"/>
    <w:rsid w:val="00FC7637"/>
    <w:rsid w:val="00FD76E1"/>
    <w:rsid w:val="00FE2A19"/>
    <w:rsid w:val="00FE37B4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38CB-6B70-4D96-9A16-C266E0E7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49</cp:revision>
  <cp:lastPrinted>2018-02-07T10:18:00Z</cp:lastPrinted>
  <dcterms:created xsi:type="dcterms:W3CDTF">2017-11-02T05:35:00Z</dcterms:created>
  <dcterms:modified xsi:type="dcterms:W3CDTF">2022-12-08T04:40:00Z</dcterms:modified>
</cp:coreProperties>
</file>